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135261">
        <w:rPr>
          <w:rFonts w:ascii="Calibri" w:hAnsi="Calibri"/>
          <w:b/>
          <w:sz w:val="36"/>
        </w:rPr>
        <w:t xml:space="preserve"> Clarify Constitutional Language</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5261">
        <w:rPr>
          <w:rFonts w:ascii="Calibri" w:hAnsi="Calibri"/>
        </w:rPr>
        <w:t>, the term “Advise and Consent” appears in the Constitution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5261">
        <w:rPr>
          <w:rFonts w:ascii="Calibri" w:hAnsi="Calibri"/>
        </w:rPr>
        <w:t>, it has been interpreted as the Senate providing approval to a presidential nominee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5261">
        <w:rPr>
          <w:rFonts w:ascii="Calibri" w:hAnsi="Calibri"/>
        </w:rPr>
        <w:t>, this has historically been considered a process to proceed with at all deliberate speed</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5261">
        <w:rPr>
          <w:rFonts w:ascii="Calibri" w:hAnsi="Calibri"/>
        </w:rPr>
        <w:t>, the Senate has shown disapproval with a nominee through a vote in the negation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5261">
        <w:rPr>
          <w:rFonts w:ascii="Calibri" w:hAnsi="Calibri"/>
        </w:rPr>
        <w:t>, courts have interpreted silence or inaction to imply consent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35261">
        <w:rPr>
          <w:rFonts w:ascii="Calibri" w:hAnsi="Calibri"/>
        </w:rPr>
        <w:t>, the Senate has remained officially silent on the current Supreme Court Nominee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135261">
        <w:rPr>
          <w:rFonts w:ascii="Calibri" w:hAnsi="Calibri"/>
          <w:bCs/>
        </w:rPr>
        <w:t xml:space="preserve"> the complete lack of response indicates that the Senate has no great objection to the nominee, otherwise they would have held a hearing to raise such objections</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135261">
        <w:rPr>
          <w:rFonts w:ascii="Calibri" w:hAnsi="Calibri"/>
        </w:rPr>
        <w:t xml:space="preserve"> </w:t>
      </w:r>
      <w:r w:rsidRPr="0016467D">
        <w:rPr>
          <w:rFonts w:ascii="Calibri" w:hAnsi="Calibri"/>
        </w:rPr>
        <w:t>By the Congress here assembled that</w:t>
      </w:r>
      <w:r w:rsidR="00135261">
        <w:rPr>
          <w:rFonts w:ascii="Calibri" w:hAnsi="Calibri"/>
        </w:rPr>
        <w:t xml:space="preserve"> unless the Senate provides for a hearing and a vote within a time of ninety days, they have provided consent to the nomination to the Supreme Court</w:t>
      </w:r>
      <w:r w:rsidRPr="0016467D">
        <w:rPr>
          <w:rFonts w:ascii="Calibri" w:hAnsi="Calibri"/>
        </w:rPr>
        <w:t>.</w:t>
      </w:r>
      <w:r w:rsidR="00135261">
        <w:rPr>
          <w:rFonts w:ascii="Calibri" w:hAnsi="Calibri"/>
        </w:rPr>
        <w:t xml:space="preserve"> </w:t>
      </w:r>
    </w:p>
    <w:p w:rsidR="00E9477D" w:rsidRPr="0016467D" w:rsidRDefault="00E9477D" w:rsidP="00135261">
      <w:pPr>
        <w:pStyle w:val="z-TopofForm"/>
        <w:rPr>
          <w:rFonts w:ascii="Calibri" w:hAnsi="Calibri"/>
          <w:i/>
          <w:sz w:val="20"/>
        </w:rPr>
      </w:pPr>
      <w:bookmarkStart w:id="0" w:name="_GoBack"/>
      <w:bookmarkEnd w:id="0"/>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A38" w:rsidRDefault="00CF3B3E">
      <w:r>
        <w:separator/>
      </w:r>
    </w:p>
  </w:endnote>
  <w:endnote w:type="continuationSeparator" w:id="0">
    <w:p w:rsidR="00665A38"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A38" w:rsidRDefault="00CF3B3E">
      <w:r>
        <w:separator/>
      </w:r>
    </w:p>
  </w:footnote>
  <w:footnote w:type="continuationSeparator" w:id="0">
    <w:p w:rsidR="00665A38"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1352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135261"/>
    <w:rsid w:val="00436398"/>
    <w:rsid w:val="00665A38"/>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970</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2016-04-04T05:09:00Z</dcterms:created>
  <dcterms:modified xsi:type="dcterms:W3CDTF">2016-04-04T05:09:00Z</dcterms:modified>
  <cp:category>Congressional Debate</cp:category>
</cp:coreProperties>
</file>