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F31E0D">
        <w:rPr>
          <w:b/>
          <w:sz w:val="36"/>
        </w:rPr>
        <w:t>Prohibit Endless Candidacy</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F31E0D">
        <w:rPr>
          <w:sz w:val="24"/>
        </w:rPr>
        <w:t xml:space="preserve">No person shall officially declare and file for as a candidate for federal elected office prior to 365 days before the </w:t>
      </w:r>
      <w:r w:rsidR="004B3749">
        <w:rPr>
          <w:sz w:val="24"/>
        </w:rPr>
        <w:t>election in which their office shall be contested</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B3749">
        <w:rPr>
          <w:sz w:val="24"/>
        </w:rPr>
        <w:t>Any candidate so currently declared for the elections to be held in 2020 will have their candidacy suspended until November of 2019</w:t>
      </w:r>
      <w:r w:rsidRPr="003F5FD2">
        <w:rPr>
          <w:sz w:val="24"/>
        </w:rPr>
        <w:t>.</w:t>
      </w:r>
    </w:p>
    <w:p w:rsidR="00842CE2" w:rsidRDefault="00842CE2" w:rsidP="004B3749">
      <w:pPr>
        <w:spacing w:line="480" w:lineRule="auto"/>
        <w:ind w:left="1440" w:hanging="1440"/>
        <w:rPr>
          <w:sz w:val="24"/>
        </w:rPr>
      </w:pPr>
      <w:r w:rsidRPr="003F5FD2">
        <w:rPr>
          <w:b/>
          <w:caps/>
          <w:sz w:val="24"/>
        </w:rPr>
        <w:t>Section 3</w:t>
      </w:r>
      <w:r w:rsidRPr="003F5FD2">
        <w:rPr>
          <w:b/>
          <w:sz w:val="24"/>
        </w:rPr>
        <w:t>.</w:t>
      </w:r>
      <w:r w:rsidRPr="003F5FD2">
        <w:rPr>
          <w:sz w:val="24"/>
        </w:rPr>
        <w:tab/>
      </w:r>
      <w:r w:rsidR="004B3749">
        <w:rPr>
          <w:sz w:val="24"/>
        </w:rPr>
        <w:t>The Federal Election Commission shall create procedures for ensuring that no person shall be considered a candidate, and treated as such, prior to one year before the election for their desired office</w:t>
      </w:r>
      <w:r w:rsidRPr="003F5FD2">
        <w:rPr>
          <w:sz w:val="24"/>
        </w:rPr>
        <w:t>.</w:t>
      </w:r>
    </w:p>
    <w:p w:rsidR="004B3749" w:rsidRDefault="004B3749" w:rsidP="004B3749">
      <w:pPr>
        <w:numPr>
          <w:ilvl w:val="0"/>
          <w:numId w:val="5"/>
        </w:numPr>
        <w:spacing w:line="480" w:lineRule="auto"/>
        <w:rPr>
          <w:sz w:val="24"/>
        </w:rPr>
      </w:pPr>
      <w:r>
        <w:rPr>
          <w:sz w:val="24"/>
        </w:rPr>
        <w:t>The FEC shall use the remaining balance of the Presidential Election Campaign Fund to implement this process.</w:t>
      </w:r>
      <w:bookmarkStart w:id="0" w:name="_GoBack"/>
      <w:bookmarkEnd w:id="0"/>
    </w:p>
    <w:p w:rsidR="004B3749" w:rsidRPr="003F5FD2" w:rsidRDefault="004B3749" w:rsidP="004B3749">
      <w:pPr>
        <w:numPr>
          <w:ilvl w:val="0"/>
          <w:numId w:val="5"/>
        </w:numPr>
        <w:spacing w:line="480" w:lineRule="auto"/>
        <w:rPr>
          <w:sz w:val="24"/>
        </w:rPr>
      </w:pPr>
      <w:r>
        <w:rPr>
          <w:sz w:val="24"/>
        </w:rPr>
        <w:t xml:space="preserve">Violations of section 1, or the creation of any organization which shall act to contravene section 1, shall result in such candidacy being </w:t>
      </w:r>
      <w:proofErr w:type="gramStart"/>
      <w:r>
        <w:rPr>
          <w:sz w:val="24"/>
        </w:rPr>
        <w:t>invalid</w:t>
      </w:r>
      <w:proofErr w:type="gramEnd"/>
      <w:r>
        <w:rPr>
          <w:sz w:val="24"/>
        </w:rPr>
        <w:t>, and the individual being considered ineligible for federal office.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4B3749">
        <w:rPr>
          <w:sz w:val="24"/>
        </w:rPr>
        <w:t>This shall take effect immediately, but will apply to offices which shall be contested in 2020</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B374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78873758"/>
    <w:multiLevelType w:val="hybridMultilevel"/>
    <w:tmpl w:val="8ADCA71C"/>
    <w:lvl w:ilvl="0" w:tplc="C3C62DCE">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B3749"/>
    <w:rsid w:val="00842CE2"/>
    <w:rsid w:val="00917230"/>
    <w:rsid w:val="00D92CCD"/>
    <w:rsid w:val="00F31E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1197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2017-01-30T01:10:00Z</dcterms:created>
  <dcterms:modified xsi:type="dcterms:W3CDTF">2017-01-30T01:10:00Z</dcterms:modified>
  <cp:category/>
</cp:coreProperties>
</file>