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5D1" w:rsidRDefault="005F304A">
      <w:pPr>
        <w:jc w:val="center"/>
        <w:rPr>
          <w:sz w:val="36"/>
          <w:szCs w:val="36"/>
        </w:rPr>
      </w:pPr>
      <w:r>
        <w:rPr>
          <w:sz w:val="36"/>
          <w:szCs w:val="36"/>
        </w:rPr>
        <w:t>Immigration and the Supreme Court</w:t>
      </w:r>
    </w:p>
    <w:p w:rsidR="003775D1" w:rsidRDefault="005F304A">
      <w:r>
        <w:t>***This lesson plan is adapted from the Constitutional Rights Foundation</w:t>
      </w:r>
    </w:p>
    <w:p w:rsidR="003775D1" w:rsidRDefault="003775D1"/>
    <w:p w:rsidR="003775D1" w:rsidRDefault="003775D1">
      <w:bookmarkStart w:id="0" w:name="_GoBack"/>
      <w:bookmarkEnd w:id="0"/>
    </w:p>
    <w:p w:rsidR="003775D1" w:rsidRDefault="005F304A">
      <w:pPr>
        <w:rPr>
          <w:b/>
        </w:rPr>
      </w:pPr>
      <w:r>
        <w:rPr>
          <w:b/>
          <w:i/>
        </w:rPr>
        <w:t>Judicial Case presentations</w:t>
      </w:r>
    </w:p>
    <w:p w:rsidR="003775D1" w:rsidRDefault="005F304A">
      <w:r>
        <w:t>Assign students (2-3) to research one of the following ten Supreme Court cases that deal with immigration.   Each case has a hyperlink to an initial write-up from the CRF to give to the group:</w:t>
      </w:r>
    </w:p>
    <w:p w:rsidR="003775D1" w:rsidRDefault="005F304A">
      <w:r>
        <w:tab/>
      </w:r>
    </w:p>
    <w:p w:rsidR="003775D1" w:rsidRDefault="005F304A">
      <w:pPr>
        <w:ind w:left="1440"/>
        <w:rPr>
          <w:highlight w:val="white"/>
        </w:rPr>
      </w:pPr>
      <w:r>
        <w:t>--</w:t>
      </w:r>
      <w:hyperlink r:id="rId7">
        <w:r>
          <w:rPr>
            <w:i/>
            <w:color w:val="1155CC"/>
            <w:u w:val="single"/>
          </w:rPr>
          <w:t>Chy Lung v. Freeman (1875)</w:t>
        </w:r>
      </w:hyperlink>
      <w:r>
        <w:t xml:space="preserve"> - </w:t>
      </w:r>
      <w:r>
        <w:rPr>
          <w:sz w:val="18"/>
          <w:szCs w:val="18"/>
          <w:highlight w:val="white"/>
        </w:rPr>
        <w:t xml:space="preserve"> </w:t>
      </w:r>
      <w:r>
        <w:rPr>
          <w:highlight w:val="white"/>
        </w:rPr>
        <w:t>established that only Congress can make laws concerning the admission of non-citizens into the nation.</w:t>
      </w:r>
    </w:p>
    <w:p w:rsidR="003775D1" w:rsidRDefault="005F304A">
      <w:pPr>
        <w:ind w:left="1440"/>
        <w:rPr>
          <w:highlight w:val="white"/>
        </w:rPr>
      </w:pPr>
      <w:r>
        <w:rPr>
          <w:highlight w:val="white"/>
        </w:rPr>
        <w:t>--</w:t>
      </w:r>
      <w:hyperlink r:id="rId8">
        <w:r>
          <w:rPr>
            <w:i/>
            <w:color w:val="1155CC"/>
            <w:highlight w:val="white"/>
            <w:u w:val="single"/>
          </w:rPr>
          <w:t>Head Money Cases (1884)</w:t>
        </w:r>
      </w:hyperlink>
      <w:r>
        <w:rPr>
          <w:i/>
          <w:highlight w:val="white"/>
        </w:rPr>
        <w:t xml:space="preserve"> - </w:t>
      </w:r>
      <w:r>
        <w:rPr>
          <w:highlight w:val="white"/>
        </w:rPr>
        <w:t>dealt with the power of the federal government to control immigration.</w:t>
      </w:r>
    </w:p>
    <w:p w:rsidR="003775D1" w:rsidRDefault="005F304A">
      <w:pPr>
        <w:ind w:left="1440"/>
        <w:rPr>
          <w:highlight w:val="white"/>
        </w:rPr>
      </w:pPr>
      <w:r>
        <w:rPr>
          <w:highlight w:val="white"/>
        </w:rPr>
        <w:t>--</w:t>
      </w:r>
      <w:hyperlink r:id="rId9">
        <w:r>
          <w:rPr>
            <w:i/>
            <w:color w:val="1155CC"/>
            <w:highlight w:val="white"/>
            <w:u w:val="single"/>
          </w:rPr>
          <w:t>U.S. v Wong Kim Ark (1898)</w:t>
        </w:r>
      </w:hyperlink>
      <w:r>
        <w:rPr>
          <w:i/>
          <w:highlight w:val="white"/>
        </w:rPr>
        <w:t xml:space="preserve"> </w:t>
      </w:r>
      <w:r>
        <w:rPr>
          <w:highlight w:val="white"/>
        </w:rPr>
        <w:t>- decided if a child born in the U.S. to immigrant parents became a citizen by birth.</w:t>
      </w:r>
    </w:p>
    <w:p w:rsidR="003775D1" w:rsidRDefault="005F304A">
      <w:pPr>
        <w:ind w:left="1440"/>
        <w:rPr>
          <w:highlight w:val="white"/>
        </w:rPr>
      </w:pPr>
      <w:r>
        <w:rPr>
          <w:highlight w:val="white"/>
        </w:rPr>
        <w:t>--</w:t>
      </w:r>
      <w:hyperlink r:id="rId10">
        <w:r>
          <w:rPr>
            <w:i/>
            <w:color w:val="1155CC"/>
            <w:highlight w:val="white"/>
            <w:u w:val="single"/>
          </w:rPr>
          <w:t>Perez v. Brownell (1958)</w:t>
        </w:r>
      </w:hyperlink>
      <w:r>
        <w:rPr>
          <w:i/>
          <w:highlight w:val="white"/>
        </w:rPr>
        <w:t xml:space="preserve"> - </w:t>
      </w:r>
      <w:r>
        <w:rPr>
          <w:highlight w:val="white"/>
        </w:rPr>
        <w:t>identified ways that the government can revoke citizenship.</w:t>
      </w:r>
    </w:p>
    <w:p w:rsidR="003775D1" w:rsidRDefault="005F304A">
      <w:pPr>
        <w:ind w:left="1440"/>
        <w:rPr>
          <w:highlight w:val="white"/>
        </w:rPr>
      </w:pPr>
      <w:r>
        <w:rPr>
          <w:highlight w:val="white"/>
        </w:rPr>
        <w:t>--</w:t>
      </w:r>
      <w:hyperlink r:id="rId11">
        <w:r>
          <w:rPr>
            <w:i/>
            <w:color w:val="1155CC"/>
            <w:highlight w:val="white"/>
            <w:u w:val="single"/>
          </w:rPr>
          <w:t>Afroyim v. Rusk (1967)</w:t>
        </w:r>
      </w:hyperlink>
      <w:r>
        <w:rPr>
          <w:i/>
          <w:highlight w:val="white"/>
        </w:rPr>
        <w:t xml:space="preserve"> - </w:t>
      </w:r>
      <w:r>
        <w:rPr>
          <w:highlight w:val="white"/>
        </w:rPr>
        <w:t>overturned the previous decision in Perez.</w:t>
      </w:r>
    </w:p>
    <w:p w:rsidR="003775D1" w:rsidRDefault="005F304A">
      <w:pPr>
        <w:ind w:left="1440"/>
        <w:rPr>
          <w:highlight w:val="white"/>
        </w:rPr>
      </w:pPr>
      <w:r>
        <w:rPr>
          <w:highlight w:val="white"/>
        </w:rPr>
        <w:t>--</w:t>
      </w:r>
      <w:hyperlink r:id="rId12">
        <w:r>
          <w:rPr>
            <w:i/>
            <w:color w:val="1155CC"/>
            <w:highlight w:val="white"/>
            <w:u w:val="single"/>
          </w:rPr>
          <w:t>Lau v.Nichols (1974)</w:t>
        </w:r>
      </w:hyperlink>
      <w:r>
        <w:rPr>
          <w:highlight w:val="white"/>
        </w:rPr>
        <w:t xml:space="preserve"> - dealt with public schools' obligation to provide English instruction to non-native English speakers.</w:t>
      </w:r>
    </w:p>
    <w:p w:rsidR="003775D1" w:rsidRDefault="005F304A">
      <w:pPr>
        <w:ind w:left="1440"/>
        <w:rPr>
          <w:highlight w:val="white"/>
        </w:rPr>
      </w:pPr>
      <w:r>
        <w:rPr>
          <w:highlight w:val="white"/>
        </w:rPr>
        <w:t>--</w:t>
      </w:r>
      <w:hyperlink r:id="rId13">
        <w:r>
          <w:rPr>
            <w:i/>
            <w:color w:val="1155CC"/>
            <w:highlight w:val="white"/>
            <w:u w:val="single"/>
          </w:rPr>
          <w:t>Plyler v. Doe (1982)</w:t>
        </w:r>
      </w:hyperlink>
      <w:r>
        <w:rPr>
          <w:i/>
          <w:highlight w:val="white"/>
        </w:rPr>
        <w:t xml:space="preserve"> </w:t>
      </w:r>
      <w:r>
        <w:rPr>
          <w:highlight w:val="white"/>
        </w:rPr>
        <w:t>- focused on the rights of children of undocumented immigrants to receive public education.</w:t>
      </w:r>
    </w:p>
    <w:p w:rsidR="003775D1" w:rsidRDefault="005F304A">
      <w:pPr>
        <w:ind w:left="1440"/>
        <w:rPr>
          <w:highlight w:val="white"/>
        </w:rPr>
      </w:pPr>
      <w:r>
        <w:rPr>
          <w:highlight w:val="white"/>
        </w:rPr>
        <w:t>--</w:t>
      </w:r>
      <w:hyperlink r:id="rId14">
        <w:r>
          <w:rPr>
            <w:i/>
            <w:color w:val="1155CC"/>
            <w:highlight w:val="white"/>
            <w:u w:val="single"/>
          </w:rPr>
          <w:t>INS v. Chadha (1983)</w:t>
        </w:r>
      </w:hyperlink>
      <w:r>
        <w:rPr>
          <w:highlight w:val="white"/>
        </w:rPr>
        <w:t xml:space="preserve"> - addressed Congress’ power to intercede in deportation proceedings.</w:t>
      </w:r>
    </w:p>
    <w:p w:rsidR="003775D1" w:rsidRDefault="005F304A">
      <w:pPr>
        <w:ind w:left="1440"/>
        <w:rPr>
          <w:highlight w:val="white"/>
        </w:rPr>
      </w:pPr>
      <w:r>
        <w:rPr>
          <w:highlight w:val="white"/>
        </w:rPr>
        <w:t>--</w:t>
      </w:r>
      <w:hyperlink r:id="rId15">
        <w:r>
          <w:rPr>
            <w:i/>
            <w:color w:val="1155CC"/>
            <w:highlight w:val="white"/>
            <w:u w:val="single"/>
          </w:rPr>
          <w:t>Tuan Anh Nguyen v. INS (2001)</w:t>
        </w:r>
      </w:hyperlink>
      <w:r>
        <w:rPr>
          <w:i/>
          <w:highlight w:val="white"/>
        </w:rPr>
        <w:t xml:space="preserve"> - </w:t>
      </w:r>
      <w:r>
        <w:rPr>
          <w:highlight w:val="white"/>
        </w:rPr>
        <w:t>dealt with the rules for a foreign-born child to become a citizen.</w:t>
      </w:r>
    </w:p>
    <w:p w:rsidR="003775D1" w:rsidRDefault="005F304A">
      <w:pPr>
        <w:ind w:left="1440"/>
        <w:rPr>
          <w:highlight w:val="white"/>
        </w:rPr>
      </w:pPr>
      <w:r>
        <w:rPr>
          <w:highlight w:val="white"/>
        </w:rPr>
        <w:t>--</w:t>
      </w:r>
      <w:hyperlink r:id="rId16">
        <w:r>
          <w:rPr>
            <w:i/>
            <w:color w:val="1155CC"/>
            <w:highlight w:val="white"/>
            <w:u w:val="single"/>
          </w:rPr>
          <w:t>Medellin v.Texas (2008)</w:t>
        </w:r>
      </w:hyperlink>
      <w:r>
        <w:rPr>
          <w:i/>
          <w:highlight w:val="white"/>
        </w:rPr>
        <w:t xml:space="preserve"> - </w:t>
      </w:r>
      <w:r>
        <w:rPr>
          <w:highlight w:val="white"/>
        </w:rPr>
        <w:t>limited the president's power to make states follow international treaties, particularly involving the rights of immigrants in criminal court.</w:t>
      </w:r>
    </w:p>
    <w:p w:rsidR="003775D1" w:rsidRDefault="003775D1">
      <w:pPr>
        <w:rPr>
          <w:highlight w:val="white"/>
        </w:rPr>
      </w:pPr>
    </w:p>
    <w:p w:rsidR="003775D1" w:rsidRDefault="005F304A">
      <w:pPr>
        <w:rPr>
          <w:highlight w:val="white"/>
        </w:rPr>
      </w:pPr>
      <w:r>
        <w:rPr>
          <w:highlight w:val="white"/>
        </w:rPr>
        <w:t xml:space="preserve">Each group should prepare a </w:t>
      </w:r>
      <w:proofErr w:type="gramStart"/>
      <w:r>
        <w:rPr>
          <w:highlight w:val="white"/>
        </w:rPr>
        <w:t>2-3 minute</w:t>
      </w:r>
      <w:proofErr w:type="gramEnd"/>
      <w:r>
        <w:rPr>
          <w:highlight w:val="white"/>
        </w:rPr>
        <w:t xml:space="preserve"> presentation on their Supreme Court case.   They may use the hyperlinks above but also additional resources that they found on their own.     The presentations should include the following:</w:t>
      </w:r>
    </w:p>
    <w:p w:rsidR="003775D1" w:rsidRDefault="005F304A">
      <w:pPr>
        <w:ind w:firstLine="720"/>
        <w:rPr>
          <w:highlight w:val="white"/>
        </w:rPr>
      </w:pPr>
      <w:r>
        <w:rPr>
          <w:highlight w:val="white"/>
        </w:rPr>
        <w:t>• An overview of the facts of the case.</w:t>
      </w:r>
    </w:p>
    <w:p w:rsidR="003775D1" w:rsidRDefault="005F304A">
      <w:pPr>
        <w:ind w:left="720"/>
        <w:rPr>
          <w:highlight w:val="white"/>
        </w:rPr>
      </w:pPr>
      <w:r>
        <w:rPr>
          <w:highlight w:val="white"/>
        </w:rPr>
        <w:t>• The crucial constitutional issue that the court had to decide.</w:t>
      </w:r>
    </w:p>
    <w:p w:rsidR="003775D1" w:rsidRDefault="005F304A">
      <w:pPr>
        <w:ind w:firstLine="720"/>
        <w:rPr>
          <w:highlight w:val="white"/>
        </w:rPr>
      </w:pPr>
      <w:r>
        <w:rPr>
          <w:highlight w:val="white"/>
        </w:rPr>
        <w:t>• A summary of the holding and the reasoning that the court used to reach its decision.</w:t>
      </w:r>
    </w:p>
    <w:p w:rsidR="003775D1" w:rsidRDefault="003775D1">
      <w:pPr>
        <w:rPr>
          <w:highlight w:val="white"/>
        </w:rPr>
      </w:pPr>
    </w:p>
    <w:p w:rsidR="003775D1" w:rsidRDefault="005F304A">
      <w:pPr>
        <w:rPr>
          <w:highlight w:val="white"/>
        </w:rPr>
      </w:pPr>
      <w:r>
        <w:rPr>
          <w:highlight w:val="white"/>
        </w:rPr>
        <w:t>Assign the presentations for the next class.  Each member of the group must participate in the presentation.   As students present their cases, the class should take notes on the presentations using the handout below.</w:t>
      </w:r>
    </w:p>
    <w:p w:rsidR="003775D1" w:rsidRDefault="003775D1">
      <w:pPr>
        <w:rPr>
          <w:highlight w:val="white"/>
        </w:rPr>
      </w:pPr>
    </w:p>
    <w:p w:rsidR="003775D1" w:rsidRDefault="005F304A">
      <w:pPr>
        <w:rPr>
          <w:highlight w:val="white"/>
        </w:rPr>
      </w:pPr>
      <w:r>
        <w:rPr>
          <w:b/>
          <w:i/>
          <w:highlight w:val="white"/>
        </w:rPr>
        <w:lastRenderedPageBreak/>
        <w:t>Class Reading and Discussion</w:t>
      </w:r>
      <w:r>
        <w:rPr>
          <w:highlight w:val="white"/>
        </w:rPr>
        <w:t xml:space="preserve"> - As a class, the students will familiarize themselves with </w:t>
      </w:r>
      <w:r>
        <w:rPr>
          <w:i/>
          <w:highlight w:val="white"/>
        </w:rPr>
        <w:t xml:space="preserve">Arizona v. United States (2010), </w:t>
      </w:r>
      <w:r>
        <w:rPr>
          <w:highlight w:val="white"/>
        </w:rPr>
        <w:t>which addressed whether a controversial Arizona law that set criminal penalties for immigration violations should be preempted by federal law.</w:t>
      </w:r>
    </w:p>
    <w:p w:rsidR="003775D1" w:rsidRDefault="003775D1">
      <w:pPr>
        <w:rPr>
          <w:highlight w:val="white"/>
        </w:rPr>
      </w:pPr>
    </w:p>
    <w:p w:rsidR="003775D1" w:rsidRDefault="005F304A">
      <w:pPr>
        <w:rPr>
          <w:highlight w:val="white"/>
        </w:rPr>
      </w:pPr>
      <w:r>
        <w:rPr>
          <w:highlight w:val="white"/>
        </w:rPr>
        <w:t>Assign students to read the following article - “</w:t>
      </w:r>
      <w:r>
        <w:rPr>
          <w:i/>
          <w:highlight w:val="white"/>
        </w:rPr>
        <w:t>Arizona v. United States</w:t>
      </w:r>
      <w:r>
        <w:rPr>
          <w:highlight w:val="white"/>
        </w:rPr>
        <w:t xml:space="preserve">: States and Immigration Law” from the Constitutional Rights Foundation.  </w:t>
      </w:r>
      <w:hyperlink r:id="rId17">
        <w:r>
          <w:rPr>
            <w:color w:val="1155CC"/>
            <w:highlight w:val="white"/>
            <w:u w:val="single"/>
          </w:rPr>
          <w:t>http://www.crfimmigrationed.org/index.php?option=com_content&amp;view=article&amp;id=231:az-sa1070&amp;catid=50:lessonsforteachers&amp;Itemid=160</w:t>
        </w:r>
      </w:hyperlink>
    </w:p>
    <w:p w:rsidR="003775D1" w:rsidRDefault="003775D1">
      <w:pPr>
        <w:rPr>
          <w:highlight w:val="white"/>
        </w:rPr>
      </w:pPr>
    </w:p>
    <w:p w:rsidR="003775D1" w:rsidRDefault="005F304A">
      <w:pPr>
        <w:rPr>
          <w:highlight w:val="white"/>
        </w:rPr>
      </w:pPr>
      <w:r>
        <w:rPr>
          <w:highlight w:val="white"/>
        </w:rPr>
        <w:t>Assign the students the following questions to answer to reflect on the reading:</w:t>
      </w:r>
    </w:p>
    <w:p w:rsidR="003775D1" w:rsidRDefault="005F304A">
      <w:pPr>
        <w:numPr>
          <w:ilvl w:val="0"/>
          <w:numId w:val="1"/>
        </w:numPr>
        <w:pBdr>
          <w:top w:val="none" w:sz="0" w:space="0" w:color="auto"/>
          <w:bottom w:val="none" w:sz="0" w:space="3" w:color="auto"/>
          <w:right w:val="none" w:sz="0" w:space="0" w:color="auto"/>
        </w:pBdr>
        <w:spacing w:before="80" w:after="220" w:line="335" w:lineRule="auto"/>
        <w:ind w:left="1400" w:right="300"/>
        <w:contextualSpacing/>
        <w:rPr>
          <w:highlight w:val="white"/>
        </w:rPr>
      </w:pPr>
      <w:r>
        <w:rPr>
          <w:highlight w:val="white"/>
        </w:rPr>
        <w:t>The Supreme Court decided that three sections were preempted by federal law: Sections 3, 5(C), and 6. For each one, decide if it was a</w:t>
      </w:r>
      <w:r>
        <w:rPr>
          <w:i/>
          <w:highlight w:val="white"/>
        </w:rPr>
        <w:t xml:space="preserve"> conflict </w:t>
      </w:r>
      <w:r>
        <w:rPr>
          <w:highlight w:val="white"/>
        </w:rPr>
        <w:t xml:space="preserve">preemption or a </w:t>
      </w:r>
      <w:r>
        <w:rPr>
          <w:i/>
          <w:highlight w:val="white"/>
        </w:rPr>
        <w:t xml:space="preserve">field </w:t>
      </w:r>
      <w:r>
        <w:rPr>
          <w:highlight w:val="white"/>
        </w:rPr>
        <w:t>preemption and explain your answers.</w:t>
      </w:r>
    </w:p>
    <w:p w:rsidR="003775D1" w:rsidRDefault="005F304A">
      <w:pPr>
        <w:numPr>
          <w:ilvl w:val="0"/>
          <w:numId w:val="1"/>
        </w:numPr>
        <w:pBdr>
          <w:top w:val="none" w:sz="0" w:space="0" w:color="auto"/>
          <w:bottom w:val="none" w:sz="0" w:space="3" w:color="auto"/>
          <w:right w:val="none" w:sz="0" w:space="0" w:color="auto"/>
        </w:pBdr>
        <w:spacing w:before="80" w:after="220" w:line="335" w:lineRule="auto"/>
        <w:ind w:left="1400" w:right="300"/>
        <w:contextualSpacing/>
        <w:rPr>
          <w:highlight w:val="white"/>
        </w:rPr>
      </w:pPr>
      <w:r>
        <w:rPr>
          <w:highlight w:val="white"/>
        </w:rPr>
        <w:t xml:space="preserve">Justices Scalia, Thomas, and Alito dissented in part and concurred (agreed) in part with the majority in </w:t>
      </w:r>
      <w:r>
        <w:rPr>
          <w:i/>
          <w:highlight w:val="white"/>
        </w:rPr>
        <w:t>Arizona v. United States</w:t>
      </w:r>
      <w:r>
        <w:rPr>
          <w:highlight w:val="white"/>
        </w:rPr>
        <w:t>. Justice Scalia argued that states like Arizona are “sovereigns.” Therefore, they can control who enters their borders and who may stay. Do you agree? Why or why not?</w:t>
      </w:r>
    </w:p>
    <w:p w:rsidR="003775D1" w:rsidRDefault="005F304A">
      <w:pPr>
        <w:numPr>
          <w:ilvl w:val="0"/>
          <w:numId w:val="1"/>
        </w:numPr>
        <w:pBdr>
          <w:top w:val="none" w:sz="0" w:space="0" w:color="auto"/>
          <w:bottom w:val="none" w:sz="0" w:space="3" w:color="auto"/>
          <w:right w:val="none" w:sz="0" w:space="0" w:color="auto"/>
        </w:pBdr>
        <w:spacing w:before="80" w:after="220" w:line="335" w:lineRule="auto"/>
        <w:ind w:left="1400" w:right="300"/>
        <w:contextualSpacing/>
        <w:rPr>
          <w:highlight w:val="white"/>
        </w:rPr>
      </w:pPr>
      <w:r>
        <w:rPr>
          <w:highlight w:val="white"/>
        </w:rPr>
        <w:t>Reasonable suspicion is not sufficient to make an arrest. But it is evidence that a person is about to commit a crime or has committed a crime. It must be more than a mere “hunch,” and gives police authority to investigate. Do you think that an officer can have reasonable suspicion that someone is an unauthorized immigrant without using race or ethnicity? Why or why not?</w:t>
      </w:r>
    </w:p>
    <w:p w:rsidR="003775D1" w:rsidRDefault="003775D1">
      <w:pPr>
        <w:rPr>
          <w:highlight w:val="white"/>
        </w:rPr>
      </w:pPr>
    </w:p>
    <w:p w:rsidR="003775D1" w:rsidRDefault="005F304A">
      <w:pPr>
        <w:rPr>
          <w:highlight w:val="white"/>
        </w:rPr>
      </w:pPr>
      <w:r>
        <w:br w:type="page"/>
      </w:r>
    </w:p>
    <w:p w:rsidR="003775D1" w:rsidRDefault="005F304A">
      <w:pPr>
        <w:jc w:val="center"/>
        <w:rPr>
          <w:sz w:val="36"/>
          <w:szCs w:val="36"/>
          <w:highlight w:val="white"/>
        </w:rPr>
      </w:pPr>
      <w:r>
        <w:rPr>
          <w:sz w:val="36"/>
          <w:szCs w:val="36"/>
          <w:highlight w:val="white"/>
        </w:rPr>
        <w:lastRenderedPageBreak/>
        <w:t>The Supreme Court and Immigration</w:t>
      </w:r>
    </w:p>
    <w:p w:rsidR="003775D1" w:rsidRDefault="005F304A">
      <w:pPr>
        <w:ind w:left="-720"/>
        <w:rPr>
          <w:highlight w:val="white"/>
        </w:rPr>
      </w:pPr>
      <w:r>
        <w:rPr>
          <w:highlight w:val="white"/>
        </w:rPr>
        <w:t>As student groups present their specific cases, please take notes in the chart below.</w:t>
      </w:r>
    </w:p>
    <w:p w:rsidR="003775D1" w:rsidRDefault="003775D1">
      <w:pPr>
        <w:rPr>
          <w:highlight w:val="white"/>
        </w:rPr>
      </w:pPr>
    </w:p>
    <w:tbl>
      <w:tblPr>
        <w:tblStyle w:val="a"/>
        <w:tblW w:w="10455"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730"/>
        <w:gridCol w:w="2655"/>
        <w:gridCol w:w="2715"/>
      </w:tblGrid>
      <w:tr w:rsidR="003775D1">
        <w:tc>
          <w:tcPr>
            <w:tcW w:w="2355" w:type="dxa"/>
            <w:shd w:val="clear" w:color="auto" w:fill="auto"/>
            <w:tcMar>
              <w:top w:w="100" w:type="dxa"/>
              <w:left w:w="100" w:type="dxa"/>
              <w:bottom w:w="100" w:type="dxa"/>
              <w:right w:w="100" w:type="dxa"/>
            </w:tcMar>
          </w:tcPr>
          <w:p w:rsidR="003775D1" w:rsidRDefault="005F304A">
            <w:pPr>
              <w:widowControl w:val="0"/>
              <w:spacing w:line="240" w:lineRule="auto"/>
              <w:rPr>
                <w:b/>
                <w:highlight w:val="white"/>
                <w:u w:val="single"/>
              </w:rPr>
            </w:pPr>
            <w:r>
              <w:rPr>
                <w:b/>
                <w:highlight w:val="white"/>
                <w:u w:val="single"/>
              </w:rPr>
              <w:t>Name of Case</w:t>
            </w:r>
          </w:p>
        </w:tc>
        <w:tc>
          <w:tcPr>
            <w:tcW w:w="2730" w:type="dxa"/>
            <w:shd w:val="clear" w:color="auto" w:fill="auto"/>
            <w:tcMar>
              <w:top w:w="100" w:type="dxa"/>
              <w:left w:w="100" w:type="dxa"/>
              <w:bottom w:w="100" w:type="dxa"/>
              <w:right w:w="100" w:type="dxa"/>
            </w:tcMar>
          </w:tcPr>
          <w:p w:rsidR="003775D1" w:rsidRDefault="005F304A">
            <w:pPr>
              <w:widowControl w:val="0"/>
              <w:spacing w:line="240" w:lineRule="auto"/>
              <w:jc w:val="center"/>
              <w:rPr>
                <w:b/>
                <w:highlight w:val="white"/>
                <w:u w:val="single"/>
              </w:rPr>
            </w:pPr>
            <w:r>
              <w:rPr>
                <w:b/>
                <w:highlight w:val="white"/>
                <w:u w:val="single"/>
              </w:rPr>
              <w:t>Key Background Info</w:t>
            </w:r>
          </w:p>
        </w:tc>
        <w:tc>
          <w:tcPr>
            <w:tcW w:w="2655" w:type="dxa"/>
            <w:shd w:val="clear" w:color="auto" w:fill="auto"/>
            <w:tcMar>
              <w:top w:w="100" w:type="dxa"/>
              <w:left w:w="100" w:type="dxa"/>
              <w:bottom w:w="100" w:type="dxa"/>
              <w:right w:w="100" w:type="dxa"/>
            </w:tcMar>
          </w:tcPr>
          <w:p w:rsidR="003775D1" w:rsidRDefault="005F304A">
            <w:pPr>
              <w:widowControl w:val="0"/>
              <w:spacing w:line="240" w:lineRule="auto"/>
              <w:jc w:val="center"/>
              <w:rPr>
                <w:b/>
                <w:highlight w:val="white"/>
                <w:u w:val="single"/>
              </w:rPr>
            </w:pPr>
            <w:r>
              <w:rPr>
                <w:b/>
                <w:highlight w:val="white"/>
                <w:u w:val="single"/>
              </w:rPr>
              <w:t>Key Constitutional Question(s)</w:t>
            </w:r>
          </w:p>
        </w:tc>
        <w:tc>
          <w:tcPr>
            <w:tcW w:w="2715" w:type="dxa"/>
            <w:shd w:val="clear" w:color="auto" w:fill="auto"/>
            <w:tcMar>
              <w:top w:w="100" w:type="dxa"/>
              <w:left w:w="100" w:type="dxa"/>
              <w:bottom w:w="100" w:type="dxa"/>
              <w:right w:w="100" w:type="dxa"/>
            </w:tcMar>
          </w:tcPr>
          <w:p w:rsidR="003775D1" w:rsidRDefault="005F304A">
            <w:pPr>
              <w:widowControl w:val="0"/>
              <w:spacing w:line="240" w:lineRule="auto"/>
              <w:jc w:val="center"/>
              <w:rPr>
                <w:b/>
                <w:highlight w:val="white"/>
                <w:u w:val="single"/>
              </w:rPr>
            </w:pPr>
            <w:r>
              <w:rPr>
                <w:b/>
                <w:highlight w:val="white"/>
                <w:u w:val="single"/>
              </w:rPr>
              <w:t>Court’s Holding and reasoning</w:t>
            </w: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5F304A">
            <w:pPr>
              <w:widowControl w:val="0"/>
              <w:spacing w:line="240" w:lineRule="auto"/>
              <w:rPr>
                <w:i/>
                <w:highlight w:val="white"/>
              </w:rPr>
            </w:pPr>
            <w:r>
              <w:rPr>
                <w:i/>
                <w:highlight w:val="white"/>
              </w:rPr>
              <w:t>Chy Lung v. Freeman (1875)</w:t>
            </w: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5F304A">
            <w:pPr>
              <w:widowControl w:val="0"/>
              <w:spacing w:line="240" w:lineRule="auto"/>
              <w:rPr>
                <w:i/>
                <w:highlight w:val="white"/>
              </w:rPr>
            </w:pPr>
            <w:r>
              <w:rPr>
                <w:i/>
                <w:highlight w:val="white"/>
              </w:rPr>
              <w:t>Head Money Cases (1884)</w:t>
            </w: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5F304A">
            <w:pPr>
              <w:widowControl w:val="0"/>
              <w:spacing w:line="240" w:lineRule="auto"/>
              <w:rPr>
                <w:i/>
                <w:highlight w:val="white"/>
              </w:rPr>
            </w:pPr>
            <w:r>
              <w:rPr>
                <w:i/>
                <w:highlight w:val="white"/>
              </w:rPr>
              <w:t>U.S. v. Wong Kim Ark (1898)</w:t>
            </w: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5F304A">
            <w:pPr>
              <w:widowControl w:val="0"/>
              <w:spacing w:line="240" w:lineRule="auto"/>
              <w:rPr>
                <w:i/>
                <w:highlight w:val="white"/>
              </w:rPr>
            </w:pPr>
            <w:r>
              <w:rPr>
                <w:i/>
                <w:highlight w:val="white"/>
              </w:rPr>
              <w:t>Perez v. Brownell (1958)</w:t>
            </w: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p w:rsidR="003775D1" w:rsidRDefault="003775D1">
            <w:pPr>
              <w:widowControl w:val="0"/>
              <w:spacing w:line="240" w:lineRule="auto"/>
              <w:rPr>
                <w:i/>
                <w:highlight w:val="white"/>
              </w:rPr>
            </w:pPr>
          </w:p>
          <w:p w:rsidR="003775D1" w:rsidRDefault="005F304A">
            <w:pPr>
              <w:widowControl w:val="0"/>
              <w:spacing w:line="240" w:lineRule="auto"/>
              <w:rPr>
                <w:i/>
                <w:highlight w:val="white"/>
              </w:rPr>
            </w:pPr>
            <w:r>
              <w:rPr>
                <w:i/>
                <w:highlight w:val="white"/>
              </w:rPr>
              <w:lastRenderedPageBreak/>
              <w:t>Afroyim v. Rusk (1967)</w:t>
            </w:r>
          </w:p>
          <w:p w:rsidR="003775D1" w:rsidRDefault="003775D1">
            <w:pPr>
              <w:widowControl w:val="0"/>
              <w:spacing w:line="240" w:lineRule="auto"/>
              <w:rPr>
                <w:i/>
                <w:highlight w:val="white"/>
              </w:rPr>
            </w:pPr>
          </w:p>
          <w:p w:rsidR="003775D1" w:rsidRDefault="003775D1">
            <w:pPr>
              <w:widowControl w:val="0"/>
              <w:spacing w:line="240" w:lineRule="auto"/>
              <w:rPr>
                <w:highlight w:val="white"/>
              </w:rPr>
            </w:pPr>
          </w:p>
          <w:p w:rsidR="003775D1" w:rsidRDefault="003775D1">
            <w:pPr>
              <w:widowControl w:val="0"/>
              <w:spacing w:line="240" w:lineRule="auto"/>
              <w:rPr>
                <w:i/>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5F304A">
            <w:pPr>
              <w:widowControl w:val="0"/>
              <w:spacing w:line="240" w:lineRule="auto"/>
              <w:rPr>
                <w:i/>
                <w:highlight w:val="white"/>
              </w:rPr>
            </w:pPr>
            <w:r>
              <w:rPr>
                <w:i/>
                <w:highlight w:val="white"/>
              </w:rPr>
              <w:t>Lau v. Nichols (1974)</w:t>
            </w: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5F304A">
            <w:pPr>
              <w:widowControl w:val="0"/>
              <w:spacing w:line="240" w:lineRule="auto"/>
              <w:rPr>
                <w:i/>
                <w:highlight w:val="white"/>
              </w:rPr>
            </w:pPr>
            <w:r>
              <w:rPr>
                <w:i/>
                <w:highlight w:val="white"/>
              </w:rPr>
              <w:t>Plyler v. Doe (1982)</w:t>
            </w:r>
          </w:p>
          <w:p w:rsidR="003775D1" w:rsidRDefault="003775D1">
            <w:pPr>
              <w:widowControl w:val="0"/>
              <w:spacing w:line="240" w:lineRule="auto"/>
              <w:rPr>
                <w:i/>
                <w:highlight w:val="white"/>
              </w:rPr>
            </w:pPr>
          </w:p>
          <w:p w:rsidR="003775D1" w:rsidRDefault="003775D1">
            <w:pPr>
              <w:widowControl w:val="0"/>
              <w:spacing w:line="240" w:lineRule="auto"/>
              <w:rPr>
                <w:highlight w:val="white"/>
              </w:rPr>
            </w:pPr>
          </w:p>
          <w:p w:rsidR="003775D1" w:rsidRDefault="003775D1">
            <w:pPr>
              <w:widowControl w:val="0"/>
              <w:spacing w:line="240" w:lineRule="auto"/>
              <w:rPr>
                <w:i/>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5F304A">
            <w:pPr>
              <w:widowControl w:val="0"/>
              <w:spacing w:line="240" w:lineRule="auto"/>
              <w:rPr>
                <w:highlight w:val="white"/>
              </w:rPr>
            </w:pPr>
            <w:r>
              <w:rPr>
                <w:i/>
                <w:highlight w:val="white"/>
              </w:rPr>
              <w:t>INS v. Chadha (1983)</w:t>
            </w: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i/>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3775D1">
            <w:pPr>
              <w:widowControl w:val="0"/>
              <w:spacing w:line="240" w:lineRule="auto"/>
              <w:rPr>
                <w:highlight w:val="white"/>
              </w:rPr>
            </w:pPr>
          </w:p>
          <w:p w:rsidR="003775D1" w:rsidRDefault="005F304A">
            <w:pPr>
              <w:widowControl w:val="0"/>
              <w:spacing w:line="240" w:lineRule="auto"/>
              <w:rPr>
                <w:i/>
                <w:highlight w:val="white"/>
              </w:rPr>
            </w:pPr>
            <w:r>
              <w:rPr>
                <w:i/>
                <w:highlight w:val="white"/>
              </w:rPr>
              <w:t>Tuan Anh Nguyen v. INS (2001)</w:t>
            </w: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r w:rsidR="003775D1">
        <w:tc>
          <w:tcPr>
            <w:tcW w:w="2355" w:type="dxa"/>
            <w:shd w:val="clear" w:color="auto" w:fill="auto"/>
            <w:tcMar>
              <w:top w:w="100" w:type="dxa"/>
              <w:left w:w="100" w:type="dxa"/>
              <w:bottom w:w="100" w:type="dxa"/>
              <w:right w:w="100" w:type="dxa"/>
            </w:tcMar>
          </w:tcPr>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p w:rsidR="003775D1" w:rsidRDefault="005F304A">
            <w:pPr>
              <w:widowControl w:val="0"/>
              <w:spacing w:line="240" w:lineRule="auto"/>
              <w:rPr>
                <w:i/>
                <w:highlight w:val="white"/>
              </w:rPr>
            </w:pPr>
            <w:r>
              <w:rPr>
                <w:i/>
                <w:highlight w:val="white"/>
              </w:rPr>
              <w:t>Medellin v. Texas (2008)</w:t>
            </w:r>
          </w:p>
          <w:p w:rsidR="003775D1" w:rsidRDefault="003775D1">
            <w:pPr>
              <w:widowControl w:val="0"/>
              <w:spacing w:line="240" w:lineRule="auto"/>
              <w:rPr>
                <w:i/>
                <w:highlight w:val="white"/>
              </w:rPr>
            </w:pPr>
          </w:p>
          <w:p w:rsidR="003775D1" w:rsidRDefault="003775D1">
            <w:pPr>
              <w:widowControl w:val="0"/>
              <w:spacing w:line="240" w:lineRule="auto"/>
              <w:rPr>
                <w:i/>
                <w:highlight w:val="white"/>
              </w:rPr>
            </w:pPr>
          </w:p>
        </w:tc>
        <w:tc>
          <w:tcPr>
            <w:tcW w:w="2730"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65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c>
          <w:tcPr>
            <w:tcW w:w="2715" w:type="dxa"/>
            <w:shd w:val="clear" w:color="auto" w:fill="auto"/>
            <w:tcMar>
              <w:top w:w="100" w:type="dxa"/>
              <w:left w:w="100" w:type="dxa"/>
              <w:bottom w:w="100" w:type="dxa"/>
              <w:right w:w="100" w:type="dxa"/>
            </w:tcMar>
          </w:tcPr>
          <w:p w:rsidR="003775D1" w:rsidRDefault="003775D1">
            <w:pPr>
              <w:widowControl w:val="0"/>
              <w:spacing w:line="240" w:lineRule="auto"/>
              <w:rPr>
                <w:highlight w:val="white"/>
              </w:rPr>
            </w:pPr>
          </w:p>
        </w:tc>
      </w:tr>
    </w:tbl>
    <w:p w:rsidR="003775D1" w:rsidRDefault="003775D1">
      <w:pPr>
        <w:rPr>
          <w:highlight w:val="white"/>
        </w:rPr>
      </w:pPr>
    </w:p>
    <w:sectPr w:rsidR="003775D1">
      <w:headerReference w:type="defaul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4A8" w:rsidRDefault="007204A8" w:rsidP="00404D8D">
      <w:pPr>
        <w:spacing w:line="240" w:lineRule="auto"/>
      </w:pPr>
      <w:r>
        <w:separator/>
      </w:r>
    </w:p>
  </w:endnote>
  <w:endnote w:type="continuationSeparator" w:id="0">
    <w:p w:rsidR="007204A8" w:rsidRDefault="007204A8" w:rsidP="00404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4A8" w:rsidRDefault="007204A8" w:rsidP="00404D8D">
      <w:pPr>
        <w:spacing w:line="240" w:lineRule="auto"/>
      </w:pPr>
      <w:r>
        <w:separator/>
      </w:r>
    </w:p>
  </w:footnote>
  <w:footnote w:type="continuationSeparator" w:id="0">
    <w:p w:rsidR="007204A8" w:rsidRDefault="007204A8" w:rsidP="00404D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D8D" w:rsidRDefault="00404D8D">
    <w:pPr>
      <w:pStyle w:val="Header"/>
    </w:pPr>
  </w:p>
  <w:p w:rsidR="00404D8D" w:rsidRDefault="00404D8D">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404D8D" w:rsidRDefault="00404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F25F4"/>
    <w:multiLevelType w:val="multilevel"/>
    <w:tmpl w:val="84B0F17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D1"/>
    <w:rsid w:val="003775D1"/>
    <w:rsid w:val="00404D8D"/>
    <w:rsid w:val="005F304A"/>
    <w:rsid w:val="0072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2D94"/>
  <w15:docId w15:val="{A671E497-86AC-421C-8D43-4C539F30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04D8D"/>
    <w:pPr>
      <w:tabs>
        <w:tab w:val="center" w:pos="4680"/>
        <w:tab w:val="right" w:pos="9360"/>
      </w:tabs>
      <w:spacing w:line="240" w:lineRule="auto"/>
    </w:pPr>
  </w:style>
  <w:style w:type="character" w:customStyle="1" w:styleId="HeaderChar">
    <w:name w:val="Header Char"/>
    <w:basedOn w:val="DefaultParagraphFont"/>
    <w:link w:val="Header"/>
    <w:uiPriority w:val="99"/>
    <w:rsid w:val="00404D8D"/>
  </w:style>
  <w:style w:type="paragraph" w:styleId="Footer">
    <w:name w:val="footer"/>
    <w:basedOn w:val="Normal"/>
    <w:link w:val="FooterChar"/>
    <w:uiPriority w:val="99"/>
    <w:unhideWhenUsed/>
    <w:rsid w:val="00404D8D"/>
    <w:pPr>
      <w:tabs>
        <w:tab w:val="center" w:pos="4680"/>
        <w:tab w:val="right" w:pos="9360"/>
      </w:tabs>
      <w:spacing w:line="240" w:lineRule="auto"/>
    </w:pPr>
  </w:style>
  <w:style w:type="character" w:customStyle="1" w:styleId="FooterChar">
    <w:name w:val="Footer Char"/>
    <w:basedOn w:val="DefaultParagraphFont"/>
    <w:link w:val="Footer"/>
    <w:uiPriority w:val="99"/>
    <w:rsid w:val="0040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rfimmigrationed.org/index.php?option=com_content&amp;view=article&amp;id=68:sc-5-head-money-cases-1884-&amp;catid=41&amp;Itemid=112" TargetMode="External"/><Relationship Id="rId13" Type="http://schemas.openxmlformats.org/officeDocument/2006/relationships/hyperlink" Target="http://www.crfimmigrationed.org/index.php?option=com_content&amp;view=article&amp;id=64:sc-1-plyler-v-doe-1982-&amp;catid=41&amp;Itemid=10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fimmigrationed.org/index.php?option=com_content&amp;view=article&amp;id=237%3Achy-lung-v-freeman&amp;catid=41&amp;Itemid=89" TargetMode="External"/><Relationship Id="rId12" Type="http://schemas.openxmlformats.org/officeDocument/2006/relationships/hyperlink" Target="http://www.crfimmigrationed.org/index.php?option=com_content&amp;view=article&amp;id=232:lau-v-nichols-1974&amp;catid=41&amp;Itemid=163" TargetMode="External"/><Relationship Id="rId17" Type="http://schemas.openxmlformats.org/officeDocument/2006/relationships/hyperlink" Target="http://www.crfimmigrationed.org/index.php?option=com_content&amp;view=article&amp;id=231:az-sa1070&amp;catid=50:lessonsforteachers&amp;Itemid=160" TargetMode="External"/><Relationship Id="rId2" Type="http://schemas.openxmlformats.org/officeDocument/2006/relationships/styles" Target="styles.xml"/><Relationship Id="rId16" Type="http://schemas.openxmlformats.org/officeDocument/2006/relationships/hyperlink" Target="http://www.crfimmigrationed.org/index.php?option=com_content&amp;view=article&amp;id=67:sc-4-medellin-v-texas-2008-&amp;catid=41&amp;Itemid=1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fimmigrationed.org/index.php?option=com_content&amp;view=article&amp;id=70:sc-7-afroyim-v-rusk-1967-&amp;catid=41&amp;Itemid=114" TargetMode="External"/><Relationship Id="rId5" Type="http://schemas.openxmlformats.org/officeDocument/2006/relationships/footnotes" Target="footnotes.xml"/><Relationship Id="rId15" Type="http://schemas.openxmlformats.org/officeDocument/2006/relationships/hyperlink" Target="http://www.crfimmigrationed.org/index.php?option=com_content&amp;view=article&amp;id=66:sc-3-nguyen-v-ins-2001-&amp;catid=41&amp;Itemid=110" TargetMode="External"/><Relationship Id="rId10" Type="http://schemas.openxmlformats.org/officeDocument/2006/relationships/hyperlink" Target="http://www.crfimmigrationed.org/index.php?option=com_content&amp;view=article&amp;id=65:sc-2-perez-v-brownell-1958-&amp;catid=41&amp;Itemid=1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fimmigrationed.org/index.php?option=com_content&amp;view=article&amp;id=204%3Aus-v-won-kim-ark&amp;catid=41&amp;Itemid=131" TargetMode="External"/><Relationship Id="rId14" Type="http://schemas.openxmlformats.org/officeDocument/2006/relationships/hyperlink" Target="http://www.crfimmigrationed.org/index.php?option=com_content&amp;view=article&amp;id=69:sc-6-chadha-1983-&amp;catid=41&amp;Itemid=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2018-08-24T14:49:00Z</dcterms:created>
  <dcterms:modified xsi:type="dcterms:W3CDTF">2018-08-24T14:49:00Z</dcterms:modified>
</cp:coreProperties>
</file>