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38549C">
        <w:rPr>
          <w:b/>
          <w:sz w:val="36"/>
        </w:rPr>
        <w:t>Study School Start Times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38549C">
        <w:rPr>
          <w:sz w:val="24"/>
        </w:rPr>
        <w:t>The Department of Education will commission a study to determine the ideal starting time for schools</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38549C">
        <w:rPr>
          <w:sz w:val="24"/>
        </w:rPr>
        <w:t>Upon the completion of this report, the DOE will provide financial incentives in the form of block grants for states which choose to follow the recommendations in this report</w:t>
      </w:r>
      <w:r w:rsidRPr="003F5FD2">
        <w:rPr>
          <w:sz w:val="24"/>
        </w:rPr>
        <w:t>.</w:t>
      </w:r>
    </w:p>
    <w:p w:rsidR="00842CE2" w:rsidRPr="003F5FD2" w:rsidRDefault="00842CE2" w:rsidP="0038549C">
      <w:pPr>
        <w:spacing w:line="480" w:lineRule="auto"/>
        <w:ind w:left="1440" w:hanging="1440"/>
        <w:rPr>
          <w:sz w:val="24"/>
        </w:rPr>
      </w:pPr>
      <w:r w:rsidRPr="003F5FD2">
        <w:rPr>
          <w:b/>
          <w:caps/>
          <w:sz w:val="24"/>
        </w:rPr>
        <w:t>Section 3</w:t>
      </w:r>
      <w:r w:rsidRPr="003F5FD2">
        <w:rPr>
          <w:b/>
          <w:sz w:val="24"/>
        </w:rPr>
        <w:t>.</w:t>
      </w:r>
      <w:r w:rsidRPr="003F5FD2">
        <w:rPr>
          <w:sz w:val="24"/>
        </w:rPr>
        <w:tab/>
      </w:r>
      <w:r w:rsidR="0038549C">
        <w:rPr>
          <w:sz w:val="24"/>
        </w:rPr>
        <w:t>The Secretary of Education will determine which states qualify for the block grants based upon school starting times.  Funding shall be provided by reallocating extra funding from the Race to the Top grant program.</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38549C">
        <w:rPr>
          <w:sz w:val="24"/>
        </w:rPr>
        <w:t>This shall take effect immediately, with a final report due no later than December 31, 2017</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38549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38549C"/>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856</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2017-01-03T01:41:00Z</dcterms:created>
  <dcterms:modified xsi:type="dcterms:W3CDTF">2017-01-03T01:41:00Z</dcterms:modified>
  <cp:category/>
</cp:coreProperties>
</file>