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AC6" w:rsidRDefault="00842CE2">
      <w:pPr>
        <w:jc w:val="center"/>
        <w:rPr>
          <w:b/>
          <w:sz w:val="36"/>
        </w:rPr>
      </w:pPr>
      <w:r w:rsidRPr="003F5FD2">
        <w:rPr>
          <w:b/>
          <w:sz w:val="36"/>
        </w:rPr>
        <w:t xml:space="preserve">A Bill to </w:t>
      </w:r>
      <w:r w:rsidR="00586AC6">
        <w:rPr>
          <w:b/>
          <w:sz w:val="36"/>
        </w:rPr>
        <w:t xml:space="preserve">Create Accountability in </w:t>
      </w:r>
    </w:p>
    <w:p w:rsidR="00842CE2" w:rsidRPr="003F5FD2" w:rsidRDefault="00586AC6">
      <w:pPr>
        <w:jc w:val="center"/>
        <w:rPr>
          <w:b/>
          <w:sz w:val="36"/>
        </w:rPr>
      </w:pPr>
      <w:r>
        <w:rPr>
          <w:b/>
          <w:sz w:val="36"/>
        </w:rPr>
        <w:t>Non-Profit Organizations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586AC6">
        <w:rPr>
          <w:sz w:val="24"/>
        </w:rPr>
        <w:t>Non-profit groups with a 501 (c) (3) or 501 (c) (4) designation shall be required to file reports attesting to compliance with the Sarbanes-Oxley Act Section 404</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586AC6">
        <w:rPr>
          <w:sz w:val="24"/>
        </w:rPr>
        <w:t>501 (c) (3) and (4) organizations are non-profit organizations approved for specific purposes by the Internal Revenue Service</w:t>
      </w:r>
      <w:r w:rsidRPr="003F5FD2">
        <w:rPr>
          <w:sz w:val="24"/>
        </w:rPr>
        <w:t>.</w:t>
      </w:r>
    </w:p>
    <w:p w:rsidR="00842CE2" w:rsidRPr="003F5FD2" w:rsidRDefault="00842CE2" w:rsidP="00586AC6">
      <w:pPr>
        <w:spacing w:line="480" w:lineRule="auto"/>
        <w:ind w:left="1440" w:hanging="1440"/>
        <w:rPr>
          <w:sz w:val="24"/>
        </w:rPr>
      </w:pPr>
      <w:r w:rsidRPr="003F5FD2">
        <w:rPr>
          <w:b/>
          <w:caps/>
          <w:sz w:val="24"/>
        </w:rPr>
        <w:t>Section 3</w:t>
      </w:r>
      <w:r w:rsidRPr="003F5FD2">
        <w:rPr>
          <w:b/>
          <w:sz w:val="24"/>
        </w:rPr>
        <w:t>.</w:t>
      </w:r>
      <w:r w:rsidRPr="003F5FD2">
        <w:rPr>
          <w:sz w:val="24"/>
        </w:rPr>
        <w:tab/>
      </w:r>
      <w:r w:rsidR="00586AC6">
        <w:rPr>
          <w:sz w:val="24"/>
        </w:rPr>
        <w:t xml:space="preserve">The </w:t>
      </w:r>
      <w:r w:rsidR="00712D18">
        <w:rPr>
          <w:sz w:val="24"/>
        </w:rPr>
        <w:t>Securities and Exchange Commission</w:t>
      </w:r>
      <w:r w:rsidR="00586AC6">
        <w:rPr>
          <w:sz w:val="24"/>
        </w:rPr>
        <w:t xml:space="preserve"> shall be re</w:t>
      </w:r>
      <w:r w:rsidR="00712D18">
        <w:rPr>
          <w:sz w:val="24"/>
        </w:rPr>
        <w:t>sponsible for enforcement of this legislation.  The Public Company Accounting Oversight Board shall be responsible for collecting and responding to reports filed by the groups affected by this legislation.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712D18">
        <w:rPr>
          <w:sz w:val="24"/>
        </w:rPr>
        <w:t>This shall take effect for the 2018 fiscal year</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712D1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586AC6"/>
    <w:rsid w:val="00712D18"/>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891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2016-09-01T05:35:00Z</dcterms:created>
  <dcterms:modified xsi:type="dcterms:W3CDTF">2016-09-01T05:35:00Z</dcterms:modified>
  <cp:category/>
</cp:coreProperties>
</file>