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437037">
        <w:rPr>
          <w:b/>
          <w:sz w:val="36"/>
        </w:rPr>
        <w:t>Prohibit “Low-Information Voters”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437037">
        <w:rPr>
          <w:sz w:val="24"/>
        </w:rPr>
        <w:t>Prior to voting in any election for a federal office, a voter must demonstrate an understanding of the system of government of the United States, and of current events</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437037">
        <w:rPr>
          <w:sz w:val="24"/>
        </w:rPr>
        <w:t xml:space="preserve">Each state shall determine what constitutes </w:t>
      </w:r>
      <w:r w:rsidR="008D2AEB">
        <w:rPr>
          <w:sz w:val="24"/>
        </w:rPr>
        <w:t>an understanding</w:t>
      </w:r>
      <w:bookmarkStart w:id="0" w:name="_GoBack"/>
      <w:bookmarkEnd w:id="0"/>
      <w:r w:rsidR="00437037">
        <w:rPr>
          <w:sz w:val="24"/>
        </w:rPr>
        <w:t xml:space="preserve"> in government and current events</w:t>
      </w:r>
      <w:r w:rsidR="008D2AEB">
        <w:rPr>
          <w:sz w:val="24"/>
        </w:rPr>
        <w:t xml:space="preserve"> for purposes of their elections</w:t>
      </w:r>
      <w:r w:rsidRPr="003F5FD2">
        <w:rPr>
          <w:sz w:val="24"/>
        </w:rPr>
        <w:t>.</w:t>
      </w:r>
    </w:p>
    <w:p w:rsidR="00842CE2" w:rsidRPr="003F5FD2" w:rsidRDefault="00842CE2" w:rsidP="008D2AEB">
      <w:pPr>
        <w:spacing w:line="480" w:lineRule="auto"/>
        <w:ind w:left="1440" w:hanging="1440"/>
        <w:rPr>
          <w:sz w:val="24"/>
        </w:rPr>
      </w:pPr>
      <w:r w:rsidRPr="003F5FD2">
        <w:rPr>
          <w:b/>
          <w:caps/>
          <w:sz w:val="24"/>
        </w:rPr>
        <w:t>Section 3</w:t>
      </w:r>
      <w:r w:rsidRPr="003F5FD2">
        <w:rPr>
          <w:b/>
          <w:sz w:val="24"/>
        </w:rPr>
        <w:t>.</w:t>
      </w:r>
      <w:r w:rsidRPr="003F5FD2">
        <w:rPr>
          <w:sz w:val="24"/>
        </w:rPr>
        <w:tab/>
      </w:r>
      <w:r w:rsidR="008D2AEB">
        <w:rPr>
          <w:sz w:val="24"/>
        </w:rPr>
        <w:t>The Department of Justice will review all state plans for voter proficiency and determine if the plan meets the requirements of the Voter Rights Act.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8D2AEB">
        <w:rPr>
          <w:sz w:val="24"/>
        </w:rPr>
        <w:t>This shall take effect on June 1, 2018</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8D2AE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437037"/>
    <w:rsid w:val="00842CE2"/>
    <w:rsid w:val="008D2AEB"/>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765</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2016-11-29T17:57:00Z</dcterms:created>
  <dcterms:modified xsi:type="dcterms:W3CDTF">2016-11-29T17:57:00Z</dcterms:modified>
  <cp:category/>
</cp:coreProperties>
</file>