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6F2021">
        <w:rPr>
          <w:b/>
          <w:sz w:val="36"/>
        </w:rPr>
        <w:t>Provide Funding to the TSA</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6F2021">
        <w:rPr>
          <w:sz w:val="24"/>
        </w:rPr>
        <w:t>The Transportation Security Administration will be apportioned an additional $100 million for fiscal year 201</w:t>
      </w:r>
      <w:r w:rsidR="0020522E">
        <w:rPr>
          <w:sz w:val="24"/>
        </w:rPr>
        <w:t>8</w:t>
      </w:r>
      <w:r w:rsidR="006F2021">
        <w:rPr>
          <w:sz w:val="24"/>
        </w:rPr>
        <w:t xml:space="preserve"> for hiring and retention of officers to support airport security</w:t>
      </w:r>
      <w:r w:rsidRPr="003F5FD2">
        <w:rPr>
          <w:sz w:val="24"/>
        </w:rPr>
        <w:t>.</w:t>
      </w:r>
    </w:p>
    <w:p w:rsidR="006F2021"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6F2021">
        <w:rPr>
          <w:sz w:val="24"/>
        </w:rPr>
        <w:t>This additional funding is contingent on two benchmarks.  If one or more of these are not met, then all additional funding shall be withheld and any funding previously disbursed shall be subtracted from the budget of the TSA in fiscal year 201</w:t>
      </w:r>
      <w:r w:rsidR="0020522E">
        <w:rPr>
          <w:sz w:val="24"/>
        </w:rPr>
        <w:t>9</w:t>
      </w:r>
      <w:r w:rsidR="006F2021">
        <w:rPr>
          <w:sz w:val="24"/>
        </w:rPr>
        <w:t>.</w:t>
      </w:r>
    </w:p>
    <w:p w:rsidR="00842CE2" w:rsidRDefault="006F2021" w:rsidP="006F2021">
      <w:pPr>
        <w:numPr>
          <w:ilvl w:val="0"/>
          <w:numId w:val="5"/>
        </w:numPr>
        <w:spacing w:line="480" w:lineRule="auto"/>
        <w:rPr>
          <w:sz w:val="24"/>
        </w:rPr>
      </w:pPr>
      <w:r>
        <w:rPr>
          <w:sz w:val="24"/>
        </w:rPr>
        <w:t>Wait times at security checkpoints shall be no more than 30 minutes at the most at the ten largest airports in the United States as determined by total passenger count</w:t>
      </w:r>
      <w:r w:rsidR="00842CE2" w:rsidRPr="003F5FD2">
        <w:rPr>
          <w:sz w:val="24"/>
        </w:rPr>
        <w:t>.</w:t>
      </w:r>
    </w:p>
    <w:p w:rsidR="006F2021" w:rsidRPr="003F5FD2" w:rsidRDefault="006F2021" w:rsidP="006F2021">
      <w:pPr>
        <w:numPr>
          <w:ilvl w:val="0"/>
          <w:numId w:val="5"/>
        </w:numPr>
        <w:spacing w:line="480" w:lineRule="auto"/>
        <w:rPr>
          <w:sz w:val="24"/>
        </w:rPr>
      </w:pPr>
      <w:r>
        <w:rPr>
          <w:sz w:val="24"/>
        </w:rPr>
        <w:t>Random tests by undercover inspectors will yield a failure rate of no more than 10% as determined by the ability of inspectors to successfully smuggle contraband through the screening process.</w:t>
      </w:r>
    </w:p>
    <w:p w:rsidR="00842CE2" w:rsidRPr="003F5FD2" w:rsidRDefault="00842CE2" w:rsidP="006F2021">
      <w:pPr>
        <w:spacing w:line="480" w:lineRule="auto"/>
        <w:ind w:left="1440" w:hanging="1440"/>
        <w:rPr>
          <w:sz w:val="24"/>
        </w:rPr>
      </w:pPr>
      <w:r w:rsidRPr="003F5FD2">
        <w:rPr>
          <w:b/>
          <w:caps/>
          <w:sz w:val="24"/>
        </w:rPr>
        <w:t>Section 3</w:t>
      </w:r>
      <w:r w:rsidRPr="003F5FD2">
        <w:rPr>
          <w:b/>
          <w:sz w:val="24"/>
        </w:rPr>
        <w:t>.</w:t>
      </w:r>
      <w:r w:rsidRPr="003F5FD2">
        <w:rPr>
          <w:sz w:val="24"/>
        </w:rPr>
        <w:tab/>
      </w:r>
      <w:r w:rsidR="006F2021">
        <w:rPr>
          <w:sz w:val="24"/>
        </w:rPr>
        <w:t>The Department of Homeland Security will consult with the Transportation Security Agency to determine the greatest need for funding.  Funds shall be raised through a one-dollar-per-segment increase in the current security fees attached to airline tickets.</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6F2021">
        <w:rPr>
          <w:sz w:val="24"/>
        </w:rPr>
        <w:t xml:space="preserve">This shall take effect on </w:t>
      </w:r>
      <w:r w:rsidR="0020522E">
        <w:rPr>
          <w:sz w:val="24"/>
        </w:rPr>
        <w:t>October</w:t>
      </w:r>
      <w:bookmarkStart w:id="0" w:name="_GoBack"/>
      <w:bookmarkEnd w:id="0"/>
      <w:r w:rsidR="006F2021">
        <w:rPr>
          <w:sz w:val="24"/>
        </w:rPr>
        <w:t xml:space="preserve"> 1, 2017</w:t>
      </w:r>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20522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50D832D3"/>
    <w:multiLevelType w:val="hybridMultilevel"/>
    <w:tmpl w:val="B602FAE0"/>
    <w:lvl w:ilvl="0" w:tplc="939C56DC">
      <w:start w:val="1"/>
      <w:numFmt w:val="upp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20522E"/>
    <w:rsid w:val="006F2021"/>
    <w:rsid w:val="00842CE2"/>
    <w:rsid w:val="00917230"/>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202</Words>
  <Characters>1155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1355</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2</cp:revision>
  <cp:lastPrinted>2005-02-04T19:36:00Z</cp:lastPrinted>
  <dcterms:created xsi:type="dcterms:W3CDTF">2016-12-01T05:21:00Z</dcterms:created>
  <dcterms:modified xsi:type="dcterms:W3CDTF">2016-12-01T05:21:00Z</dcterms:modified>
  <cp:category/>
</cp:coreProperties>
</file>