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B511E9">
        <w:rPr>
          <w:b/>
          <w:sz w:val="36"/>
        </w:rPr>
        <w:t>Restore Equity in Tax Law</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B511E9">
        <w:rPr>
          <w:sz w:val="24"/>
        </w:rPr>
        <w:t>A 4% surcharge shall be placed on all income over $5 million</w:t>
      </w:r>
      <w:r w:rsidR="0059126E">
        <w:rPr>
          <w:sz w:val="24"/>
        </w:rPr>
        <w:t>.  This surcharge is not subject to any currently available federal tax deduction.</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59126E">
        <w:rPr>
          <w:sz w:val="24"/>
        </w:rPr>
        <w:t>Funds raised will go into the general fund of the United States earmarked for the purpose of debt reduction</w:t>
      </w:r>
      <w:r w:rsidRPr="003F5FD2">
        <w:rPr>
          <w:sz w:val="24"/>
        </w:rPr>
        <w:t>.</w:t>
      </w:r>
    </w:p>
    <w:p w:rsidR="00842CE2" w:rsidRPr="003F5FD2" w:rsidRDefault="00842CE2" w:rsidP="0059126E">
      <w:pPr>
        <w:spacing w:line="480" w:lineRule="auto"/>
        <w:ind w:left="1440" w:hanging="1440"/>
        <w:rPr>
          <w:sz w:val="24"/>
        </w:rPr>
      </w:pPr>
      <w:r w:rsidRPr="003F5FD2">
        <w:rPr>
          <w:b/>
          <w:caps/>
          <w:sz w:val="24"/>
        </w:rPr>
        <w:t>Section 3</w:t>
      </w:r>
      <w:r w:rsidRPr="003F5FD2">
        <w:rPr>
          <w:b/>
          <w:sz w:val="24"/>
        </w:rPr>
        <w:t>.</w:t>
      </w:r>
      <w:r w:rsidRPr="003F5FD2">
        <w:rPr>
          <w:sz w:val="24"/>
        </w:rPr>
        <w:tab/>
      </w:r>
      <w:r w:rsidR="0059126E">
        <w:rPr>
          <w:sz w:val="24"/>
        </w:rPr>
        <w:t>The Internal Revenue Service will oversee enforcement of this legislation.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59126E">
        <w:rPr>
          <w:sz w:val="24"/>
        </w:rPr>
        <w:t>This shall take effect for fiscal year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59126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59126E"/>
    <w:rsid w:val="00842CE2"/>
    <w:rsid w:val="00917230"/>
    <w:rsid w:val="00B511E9"/>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643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2016-11-03T21:39:00Z</dcterms:created>
  <dcterms:modified xsi:type="dcterms:W3CDTF">2016-11-03T21:39:00Z</dcterms:modified>
  <cp:category/>
</cp:coreProperties>
</file>